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2c8b2409d29f680391a048381752fd6963b166b"/>
    <w:p>
      <w:pPr>
        <w:pStyle w:val="Heading3"/>
      </w:pPr>
      <w:r>
        <w:t xml:space="preserve">German COVID-19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german-nowcast-hub-validation"/>
    <w:p>
      <w:pPr>
        <w:pStyle w:val="Heading3"/>
      </w:pPr>
      <w:r>
        <w:t xml:space="preserve">German Nowcast Hub validation</w:t>
      </w:r>
    </w:p>
    <w:p>
      <w:pPr>
        <w:pStyle w:val="CaptionedFigure"/>
      </w:pPr>
      <w:r>
        <w:drawing>
          <wp:inline>
            <wp:extent cx="5334000" cy="4267200"/>
            <wp:effectExtent b="0" l="0" r="0" t="0"/>
            <wp:docPr descr="Fig. S3 Relative WIS by age group of baselinenowcast compared to the revised KIT simple nowcast.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the revised KIT simple nowcast.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revised KIT simple nowcast."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revised KIT simple nowcast.</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Xe07d844dce70fa1f0091252f89ee494a398b657"/>
    <w:p>
      <w:pPr>
        <w:pStyle w:val="Heading3"/>
      </w:pPr>
      <w:r>
        <w:t xml:space="preserve">Performance of different baselinenowcast model specifications applied to German COVID-19 data</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170688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170688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3555999"/>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case-study-ukhsa-norovirus-surveillance"/>
    <w:p>
      <w:pPr>
        <w:pStyle w:val="Heading3"/>
      </w:pPr>
      <w:r>
        <w:t xml:space="preserve">Case study: UKHSA norovirus surveillance</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2025-08-08T10:28:43Z</dcterms:created>
  <dcterms:modified xsi:type="dcterms:W3CDTF">2025-08-08T10:28:43Z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